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CCC" w:rsidRDefault="00777DD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2021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年山东社科论坛指导性选题</w:t>
      </w:r>
    </w:p>
    <w:p w:rsidR="005D4CCC" w:rsidRDefault="005D4CCC" w:rsidP="00B768DD">
      <w:pPr>
        <w:spacing w:line="560" w:lineRule="exact"/>
        <w:rPr>
          <w:b/>
          <w:bCs/>
          <w:color w:val="000000"/>
          <w:sz w:val="32"/>
          <w:szCs w:val="32"/>
        </w:rPr>
      </w:pPr>
    </w:p>
    <w:p w:rsidR="005D4CCC" w:rsidRDefault="00777DD8" w:rsidP="00B768DD">
      <w:pPr>
        <w:spacing w:line="560" w:lineRule="exact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shd w:val="clear" w:color="auto" w:fill="FFFFFF"/>
        </w:rPr>
        <w:t>黄河流域生态保护和高质量发展战略：</w:t>
      </w:r>
    </w:p>
    <w:p w:rsidR="005D4CCC" w:rsidRDefault="00777DD8" w:rsidP="00B768DD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黄河三角洲国家公园建设研究</w:t>
      </w:r>
    </w:p>
    <w:p w:rsidR="005D4CCC" w:rsidRDefault="00777DD8" w:rsidP="00B768DD">
      <w:pPr>
        <w:spacing w:line="560" w:lineRule="exact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shd w:val="clear" w:color="auto" w:fill="FFFFFF"/>
        </w:rPr>
        <w:t>打造乡村振兴齐鲁样板：</w:t>
      </w:r>
    </w:p>
    <w:p w:rsidR="005D4CCC" w:rsidRDefault="00777DD8" w:rsidP="00B768DD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实现巩固拓展脱贫攻坚成果同乡村振兴有效衔接机制研究</w:t>
      </w:r>
    </w:p>
    <w:p w:rsidR="005D4CCC" w:rsidRDefault="00777DD8" w:rsidP="00B768DD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乡村振兴齐鲁样板标准体系研究</w:t>
      </w:r>
    </w:p>
    <w:p w:rsidR="005D4CCC" w:rsidRDefault="00777DD8" w:rsidP="00B768DD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山东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乡村振兴人才问题调查研究</w:t>
      </w:r>
    </w:p>
    <w:p w:rsidR="005D4CCC" w:rsidRDefault="00777DD8" w:rsidP="00B768DD">
      <w:pPr>
        <w:spacing w:line="560" w:lineRule="exact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shd w:val="clear" w:color="auto" w:fill="FFFFFF"/>
        </w:rPr>
        <w:t>半岛城市群建设：</w:t>
      </w:r>
    </w:p>
    <w:p w:rsidR="005D4CCC" w:rsidRDefault="00777DD8" w:rsidP="00B768DD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省会、胶东、鲁南三大经济圈一体化发展问题研究</w:t>
      </w:r>
    </w:p>
    <w:p w:rsidR="005D4CCC" w:rsidRDefault="00777DD8" w:rsidP="00B768DD">
      <w:pPr>
        <w:widowControl/>
        <w:spacing w:line="560" w:lineRule="exact"/>
        <w:jc w:val="left"/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济南、青岛中心城市发展能级和综合竞争力提升路径研究</w:t>
      </w:r>
    </w:p>
    <w:p w:rsidR="005D4CCC" w:rsidRDefault="00777DD8" w:rsidP="00B768DD">
      <w:pPr>
        <w:spacing w:line="560" w:lineRule="exact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shd w:val="clear" w:color="auto" w:fill="FFFFFF"/>
        </w:rPr>
        <w:t>新旧动能转换：</w:t>
      </w:r>
    </w:p>
    <w:p w:rsidR="005D4CCC" w:rsidRDefault="00777DD8" w:rsidP="00B768DD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山东培育优良产业生态提高产业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链供应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链竞争力研究</w:t>
      </w:r>
    </w:p>
    <w:p w:rsidR="005D4CCC" w:rsidRDefault="00777DD8" w:rsidP="00B768DD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山东数字化赋能的路径研究</w:t>
      </w:r>
    </w:p>
    <w:p w:rsidR="005D4CCC" w:rsidRDefault="00777DD8" w:rsidP="00B768DD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山东统筹高质量发展与安全生产制度机制研究</w:t>
      </w:r>
    </w:p>
    <w:p w:rsidR="005D4CCC" w:rsidRDefault="00777DD8" w:rsidP="00B768DD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国有企业新一轮集团化发展战略研究</w:t>
      </w:r>
    </w:p>
    <w:p w:rsidR="005D4CCC" w:rsidRDefault="00777DD8" w:rsidP="00B768DD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山东能源结构优化调整问题研究</w:t>
      </w:r>
    </w:p>
    <w:p w:rsidR="005D4CCC" w:rsidRDefault="00777DD8" w:rsidP="00B768DD">
      <w:pPr>
        <w:spacing w:line="560" w:lineRule="exact"/>
        <w:rPr>
          <w:rFonts w:ascii="仿宋_GB2312" w:eastAsia="仿宋_GB2312" w:hAnsi="仿宋_GB2312" w:cs="仿宋_GB2312"/>
          <w:strike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12.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蓝碳标准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体系建设研究</w:t>
      </w:r>
    </w:p>
    <w:p w:rsidR="005D4CCC" w:rsidRDefault="00777DD8" w:rsidP="00B768DD">
      <w:pPr>
        <w:spacing w:line="560" w:lineRule="exact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shd w:val="clear" w:color="auto" w:fill="FFFFFF"/>
        </w:rPr>
        <w:t>双循环：</w:t>
      </w:r>
    </w:p>
    <w:p w:rsidR="005D4CCC" w:rsidRDefault="00777DD8" w:rsidP="00B768DD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后疫情时期培育消费新模式、新业态的政策措施研究</w:t>
      </w:r>
    </w:p>
    <w:p w:rsidR="005D4CCC" w:rsidRDefault="00777DD8" w:rsidP="00B768DD">
      <w:pPr>
        <w:spacing w:line="560" w:lineRule="exact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shd w:val="clear" w:color="auto" w:fill="FFFFFF"/>
        </w:rPr>
        <w:t>海洋强省：</w:t>
      </w:r>
    </w:p>
    <w:p w:rsidR="005D4CCC" w:rsidRDefault="00777DD8" w:rsidP="00B768DD">
      <w:pPr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14.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山东构建高质量现代海洋产业体系研究</w:t>
      </w:r>
    </w:p>
    <w:p w:rsidR="005D4CCC" w:rsidRDefault="00777DD8" w:rsidP="00B768DD">
      <w:pPr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15.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海洋产权制度创新研究</w:t>
      </w:r>
    </w:p>
    <w:p w:rsidR="005D4CCC" w:rsidRDefault="00777DD8" w:rsidP="00B768DD">
      <w:pPr>
        <w:spacing w:line="560" w:lineRule="exact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shd w:val="clear" w:color="auto" w:fill="FFFFFF"/>
        </w:rPr>
        <w:t>营商环境：</w:t>
      </w:r>
    </w:p>
    <w:p w:rsidR="005D4CCC" w:rsidRDefault="00777DD8" w:rsidP="00B768DD">
      <w:pPr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lastRenderedPageBreak/>
        <w:t>16.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营商环境评估标准体系建设研究</w:t>
      </w:r>
    </w:p>
    <w:p w:rsidR="005D4CCC" w:rsidRDefault="00777DD8" w:rsidP="00B768DD">
      <w:pPr>
        <w:spacing w:line="560" w:lineRule="exact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shd w:val="clear" w:color="auto" w:fill="FFFFFF"/>
        </w:rPr>
        <w:t>打造对外开放新高地：</w:t>
      </w:r>
    </w:p>
    <w:p w:rsidR="005D4CCC" w:rsidRDefault="00777DD8" w:rsidP="00B768DD">
      <w:pPr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17.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拓展与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RCEP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成员国地方经贸合作研究</w:t>
      </w:r>
    </w:p>
    <w:p w:rsidR="005D4CCC" w:rsidRDefault="00777DD8" w:rsidP="00B768DD">
      <w:pPr>
        <w:widowControl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18.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青岛上合组织地方贸易合作示范区建设策略路径研究</w:t>
      </w:r>
    </w:p>
    <w:p w:rsidR="005D4CCC" w:rsidRDefault="00777DD8" w:rsidP="00B768DD">
      <w:pPr>
        <w:widowControl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19.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威海市在东北亚“四港联动”物流一体化体系中发展定位及策略路径研究</w:t>
      </w:r>
    </w:p>
    <w:p w:rsidR="005D4CCC" w:rsidRDefault="00777DD8" w:rsidP="00B768DD">
      <w:pPr>
        <w:spacing w:line="560" w:lineRule="exact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shd w:val="clear" w:color="auto" w:fill="FFFFFF"/>
        </w:rPr>
        <w:t>要素市场化配置：</w:t>
      </w:r>
    </w:p>
    <w:p w:rsidR="005D4CCC" w:rsidRDefault="00777DD8" w:rsidP="00B768DD">
      <w:pPr>
        <w:spacing w:line="560" w:lineRule="exact"/>
        <w:rPr>
          <w:rFonts w:ascii="仿宋_GB2312" w:eastAsia="仿宋_GB2312" w:hAnsi="仿宋_GB2312" w:cs="仿宋_GB2312"/>
          <w:strike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山东推进生产要素跨区域高效配置研究</w:t>
      </w:r>
    </w:p>
    <w:p w:rsidR="005D4CCC" w:rsidRDefault="00777DD8" w:rsidP="00B768DD">
      <w:pPr>
        <w:spacing w:line="560" w:lineRule="exact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shd w:val="clear" w:color="auto" w:fill="FFFFFF"/>
        </w:rPr>
        <w:t>金融改革：</w:t>
      </w:r>
    </w:p>
    <w:p w:rsidR="005D4CCC" w:rsidRDefault="00777DD8" w:rsidP="00B768DD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防范地方性金融风险与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深化地方金融机构改革问题研究</w:t>
      </w:r>
    </w:p>
    <w:p w:rsidR="005D4CCC" w:rsidRDefault="00777DD8" w:rsidP="00B768DD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山东普惠金融发展机制研究</w:t>
      </w:r>
    </w:p>
    <w:p w:rsidR="005D4CCC" w:rsidRDefault="00777DD8" w:rsidP="00B768DD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shd w:val="clear" w:color="auto" w:fill="FFFFFF"/>
        </w:rPr>
        <w:t>科教强省、科技体制改革：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科技成果转化激励机制研究</w:t>
      </w:r>
    </w:p>
    <w:p w:rsidR="005D4CCC" w:rsidRDefault="00777DD8" w:rsidP="00B768DD">
      <w:pPr>
        <w:spacing w:line="560" w:lineRule="exact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24.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山东市场化人才发展机制策略研究</w:t>
      </w:r>
    </w:p>
    <w:p w:rsidR="005D4CCC" w:rsidRDefault="00777DD8" w:rsidP="00B768DD">
      <w:pPr>
        <w:spacing w:line="560" w:lineRule="exact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文化</w:t>
      </w: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建设</w:t>
      </w: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：</w:t>
      </w:r>
    </w:p>
    <w:p w:rsidR="005D4CCC" w:rsidRDefault="00777DD8" w:rsidP="00B768DD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25.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沿黄城市非物质文化遗产廊道建设研究</w:t>
      </w:r>
    </w:p>
    <w:p w:rsidR="005D4CCC" w:rsidRDefault="00777DD8" w:rsidP="00B768DD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26.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新时期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山东康养旅游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产业振兴发展路径研究</w:t>
      </w:r>
    </w:p>
    <w:p w:rsidR="005D4CCC" w:rsidRDefault="00777DD8" w:rsidP="00B768DD">
      <w:pPr>
        <w:spacing w:line="560" w:lineRule="exact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民生与社会治理：</w:t>
      </w:r>
    </w:p>
    <w:p w:rsidR="005D4CCC" w:rsidRDefault="00777DD8" w:rsidP="00B768DD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27.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新时代乡镇职能定位发展模式研究</w:t>
      </w:r>
    </w:p>
    <w:p w:rsidR="005D4CCC" w:rsidRDefault="00777DD8" w:rsidP="00B768DD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28.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养结合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示范省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建设路径研究</w:t>
      </w:r>
    </w:p>
    <w:p w:rsidR="005D4CCC" w:rsidRDefault="00777DD8" w:rsidP="00B768DD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29.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山东积极应对人口老龄化问题及策略研究</w:t>
      </w:r>
    </w:p>
    <w:p w:rsidR="005D4CCC" w:rsidRDefault="00777DD8" w:rsidP="00B768DD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30.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山东乡村教育质量提升问题研究</w:t>
      </w:r>
    </w:p>
    <w:p w:rsidR="005D4CCC" w:rsidRDefault="00777DD8" w:rsidP="00B768DD">
      <w:pPr>
        <w:spacing w:line="560" w:lineRule="exact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党的建设：</w:t>
      </w:r>
    </w:p>
    <w:p w:rsidR="005D4CCC" w:rsidRDefault="00777DD8" w:rsidP="00B768DD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加强干部政德教育经验总结与路径研究</w:t>
      </w:r>
    </w:p>
    <w:p w:rsidR="005D4CCC" w:rsidRPr="00B768DD" w:rsidRDefault="00777DD8" w:rsidP="00B768DD">
      <w:pPr>
        <w:spacing w:line="560" w:lineRule="exact"/>
        <w:rPr>
          <w:rFonts w:ascii="微软雅黑" w:eastAsia="微软雅黑" w:hAnsi="微软雅黑" w:cs="微软雅黑"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山东基层党建创新路径研究</w:t>
      </w:r>
      <w:bookmarkStart w:id="0" w:name="_GoBack"/>
      <w:bookmarkEnd w:id="0"/>
    </w:p>
    <w:sectPr w:rsidR="005D4CCC" w:rsidRPr="00B768DD" w:rsidSect="00B768DD">
      <w:footerReference w:type="default" r:id="rId8"/>
      <w:pgSz w:w="11906" w:h="16838" w:code="9"/>
      <w:pgMar w:top="1418" w:right="1797" w:bottom="851" w:left="1797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DD8" w:rsidRDefault="00777DD8">
      <w:r>
        <w:separator/>
      </w:r>
    </w:p>
  </w:endnote>
  <w:endnote w:type="continuationSeparator" w:id="0">
    <w:p w:rsidR="00777DD8" w:rsidRDefault="0077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CCC" w:rsidRDefault="00777DD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0F937D" wp14:editId="159A097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4CCC" w:rsidRDefault="00777DD8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D1AC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D4CCC" w:rsidRDefault="00777DD8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D1AC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DD8" w:rsidRDefault="00777DD8">
      <w:r>
        <w:separator/>
      </w:r>
    </w:p>
  </w:footnote>
  <w:footnote w:type="continuationSeparator" w:id="0">
    <w:p w:rsidR="00777DD8" w:rsidRDefault="00777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CC"/>
    <w:rsid w:val="000D1AC9"/>
    <w:rsid w:val="005D4CCC"/>
    <w:rsid w:val="00777DD8"/>
    <w:rsid w:val="00B768DD"/>
    <w:rsid w:val="06DE1AFA"/>
    <w:rsid w:val="095E4140"/>
    <w:rsid w:val="106F5AFA"/>
    <w:rsid w:val="251E7DBC"/>
    <w:rsid w:val="26673164"/>
    <w:rsid w:val="3E240FD1"/>
    <w:rsid w:val="506C2424"/>
    <w:rsid w:val="51C27C3A"/>
    <w:rsid w:val="51D06377"/>
    <w:rsid w:val="5DE45B64"/>
    <w:rsid w:val="66384456"/>
    <w:rsid w:val="66A2249A"/>
    <w:rsid w:val="7D08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121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朱艳红</cp:lastModifiedBy>
  <cp:revision>2</cp:revision>
  <cp:lastPrinted>2021-03-17T03:01:00Z</cp:lastPrinted>
  <dcterms:created xsi:type="dcterms:W3CDTF">2021-03-11T02:13:00Z</dcterms:created>
  <dcterms:modified xsi:type="dcterms:W3CDTF">2021-03-17T06:45:00Z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